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pacing w:line="592" w:lineRule="exact"/>
        <w:rPr>
          <w:rFonts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</w:rPr>
      </w:pPr>
    </w:p>
    <w:p>
      <w:pPr>
        <w:pStyle w:val="7"/>
        <w:spacing w:line="592" w:lineRule="exact"/>
        <w:rPr>
          <w:rFonts w:ascii="方正小标宋简体" w:hAnsi="黑体" w:eastAsia="方正小标宋简体" w:cs="Times New Roman"/>
          <w:b w:val="0"/>
          <w:bCs w:val="0"/>
          <w:color w:val="000000"/>
          <w:sz w:val="44"/>
          <w:szCs w:val="44"/>
        </w:rPr>
      </w:pPr>
      <w:r>
        <w:rPr>
          <w:rFonts w:hint="eastAsia" w:ascii="方正小标宋简体" w:hAnsi="黑体" w:eastAsia="方正小标宋简体" w:cs="方正小标宋简体"/>
          <w:b w:val="0"/>
          <w:bCs w:val="0"/>
          <w:color w:val="000000"/>
          <w:sz w:val="44"/>
          <w:szCs w:val="44"/>
        </w:rPr>
        <w:t>日照机场航空服务有限公司</w:t>
      </w:r>
    </w:p>
    <w:p>
      <w:pPr>
        <w:pStyle w:val="7"/>
        <w:spacing w:line="592" w:lineRule="exact"/>
        <w:rPr>
          <w:rFonts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2022年度财务预算信息公告</w:t>
      </w:r>
    </w:p>
    <w:p>
      <w:pPr>
        <w:autoSpaceDE w:val="0"/>
        <w:autoSpaceDN w:val="0"/>
        <w:adjustRightInd w:val="0"/>
        <w:spacing w:line="592" w:lineRule="exact"/>
        <w:jc w:val="center"/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</w:pPr>
    </w:p>
    <w:p>
      <w:pPr>
        <w:adjustRightInd w:val="0"/>
        <w:snapToGrid w:val="0"/>
        <w:spacing w:line="592" w:lineRule="exact"/>
        <w:ind w:firstLine="641" w:firstLineChars="200"/>
        <w:rPr>
          <w:rFonts w:ascii="仿宋_GB2312" w:eastAsia="仿宋_GB2312" w:cs="Times New Roman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一、主要财务预算指标</w:t>
      </w:r>
    </w:p>
    <w:p>
      <w:pPr>
        <w:adjustRightInd w:val="0"/>
        <w:snapToGrid w:val="0"/>
        <w:spacing w:line="592" w:lineRule="exact"/>
        <w:ind w:firstLine="640" w:firstLineChars="20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1.</w:t>
      </w:r>
      <w:r>
        <w:rPr>
          <w:rFonts w:hint="eastAsia" w:ascii="仿宋_GB2312" w:eastAsia="仿宋_GB2312" w:cs="仿宋_GB2312"/>
          <w:sz w:val="32"/>
          <w:szCs w:val="32"/>
        </w:rPr>
        <w:t>主要财务预算指标</w:t>
      </w:r>
    </w:p>
    <w:p>
      <w:pPr>
        <w:adjustRightInd w:val="0"/>
        <w:snapToGrid w:val="0"/>
        <w:spacing w:line="592" w:lineRule="exact"/>
        <w:ind w:firstLine="480" w:firstLineChars="150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（</w:t>
      </w:r>
      <w:r>
        <w:rPr>
          <w:rFonts w:ascii="仿宋_GB2312" w:eastAsia="仿宋_GB2312" w:cs="仿宋_GB2312"/>
          <w:sz w:val="32"/>
          <w:szCs w:val="32"/>
        </w:rPr>
        <w:t>1</w:t>
      </w:r>
      <w:r>
        <w:rPr>
          <w:rFonts w:hint="eastAsia" w:ascii="仿宋_GB2312" w:eastAsia="仿宋_GB2312" w:cs="仿宋_GB2312"/>
          <w:sz w:val="32"/>
          <w:szCs w:val="32"/>
        </w:rPr>
        <w:t>）营业总收入：50.1万元；</w:t>
      </w:r>
    </w:p>
    <w:p>
      <w:pPr>
        <w:adjustRightInd w:val="0"/>
        <w:snapToGrid w:val="0"/>
        <w:spacing w:line="592" w:lineRule="exact"/>
        <w:ind w:firstLine="480" w:firstLineChars="150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（</w:t>
      </w:r>
      <w:r>
        <w:rPr>
          <w:rFonts w:ascii="仿宋_GB2312" w:eastAsia="仿宋_GB2312" w:cs="仿宋_GB2312"/>
          <w:sz w:val="32"/>
          <w:szCs w:val="32"/>
        </w:rPr>
        <w:t>2</w:t>
      </w:r>
      <w:r>
        <w:rPr>
          <w:rFonts w:hint="eastAsia" w:ascii="仿宋_GB2312" w:eastAsia="仿宋_GB2312" w:cs="仿宋_GB2312"/>
          <w:sz w:val="32"/>
          <w:szCs w:val="32"/>
        </w:rPr>
        <w:t>）营业总成本：49.69万元；</w:t>
      </w:r>
    </w:p>
    <w:p>
      <w:pPr>
        <w:adjustRightInd w:val="0"/>
        <w:snapToGrid w:val="0"/>
        <w:spacing w:line="592" w:lineRule="exact"/>
        <w:ind w:firstLine="480" w:firstLineChars="150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（</w:t>
      </w:r>
      <w:r>
        <w:rPr>
          <w:rFonts w:ascii="仿宋_GB2312" w:eastAsia="仿宋_GB2312" w:cs="仿宋_GB2312"/>
          <w:sz w:val="32"/>
          <w:szCs w:val="32"/>
        </w:rPr>
        <w:t>3</w:t>
      </w:r>
      <w:r>
        <w:rPr>
          <w:rFonts w:hint="eastAsia" w:ascii="仿宋_GB2312" w:eastAsia="仿宋_GB2312" w:cs="仿宋_GB2312"/>
          <w:sz w:val="32"/>
          <w:szCs w:val="32"/>
        </w:rPr>
        <w:t>）销售费用：0万元；</w:t>
      </w:r>
    </w:p>
    <w:p>
      <w:pPr>
        <w:adjustRightInd w:val="0"/>
        <w:snapToGrid w:val="0"/>
        <w:spacing w:line="592" w:lineRule="exact"/>
        <w:ind w:firstLine="480" w:firstLineChars="150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（</w:t>
      </w:r>
      <w:r>
        <w:rPr>
          <w:rFonts w:ascii="仿宋_GB2312" w:eastAsia="仿宋_GB2312" w:cs="仿宋_GB2312"/>
          <w:sz w:val="32"/>
          <w:szCs w:val="32"/>
        </w:rPr>
        <w:t>4</w:t>
      </w:r>
      <w:r>
        <w:rPr>
          <w:rFonts w:hint="eastAsia" w:ascii="仿宋_GB2312" w:eastAsia="仿宋_GB2312" w:cs="仿宋_GB2312"/>
          <w:sz w:val="32"/>
          <w:szCs w:val="32"/>
        </w:rPr>
        <w:t>）管理费用：20.45万元；</w:t>
      </w:r>
    </w:p>
    <w:p>
      <w:pPr>
        <w:adjustRightInd w:val="0"/>
        <w:snapToGrid w:val="0"/>
        <w:spacing w:line="592" w:lineRule="exact"/>
        <w:ind w:firstLine="480" w:firstLineChars="150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（</w:t>
      </w:r>
      <w:r>
        <w:rPr>
          <w:rFonts w:ascii="仿宋_GB2312" w:eastAsia="仿宋_GB2312" w:cs="仿宋_GB2312"/>
          <w:sz w:val="32"/>
          <w:szCs w:val="32"/>
        </w:rPr>
        <w:t>5</w:t>
      </w:r>
      <w:r>
        <w:rPr>
          <w:rFonts w:hint="eastAsia" w:ascii="仿宋_GB2312" w:eastAsia="仿宋_GB2312" w:cs="仿宋_GB2312"/>
          <w:sz w:val="32"/>
          <w:szCs w:val="32"/>
        </w:rPr>
        <w:t>）财务费用：-50.52万元；</w:t>
      </w:r>
    </w:p>
    <w:p>
      <w:pPr>
        <w:adjustRightInd w:val="0"/>
        <w:snapToGrid w:val="0"/>
        <w:spacing w:line="592" w:lineRule="exact"/>
        <w:ind w:firstLine="480" w:firstLineChars="150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（</w:t>
      </w:r>
      <w:r>
        <w:rPr>
          <w:rFonts w:ascii="仿宋_GB2312" w:eastAsia="仿宋_GB2312" w:cs="仿宋_GB2312"/>
          <w:sz w:val="32"/>
          <w:szCs w:val="32"/>
        </w:rPr>
        <w:t>6</w:t>
      </w:r>
      <w:r>
        <w:rPr>
          <w:rFonts w:hint="eastAsia" w:ascii="仿宋_GB2312" w:eastAsia="仿宋_GB2312" w:cs="仿宋_GB2312"/>
          <w:sz w:val="32"/>
          <w:szCs w:val="32"/>
        </w:rPr>
        <w:t>）利润总额：0.41万元；</w:t>
      </w:r>
    </w:p>
    <w:p>
      <w:pPr>
        <w:adjustRightInd w:val="0"/>
        <w:snapToGrid w:val="0"/>
        <w:spacing w:line="592" w:lineRule="exact"/>
        <w:ind w:firstLine="480" w:firstLineChars="150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（7）资产总额：2024.24万元；</w:t>
      </w:r>
    </w:p>
    <w:p>
      <w:pPr>
        <w:adjustRightInd w:val="0"/>
        <w:snapToGrid w:val="0"/>
        <w:spacing w:line="592" w:lineRule="exact"/>
        <w:ind w:firstLine="480" w:firstLineChars="15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（8）负债总额：2224.19万元；</w:t>
      </w:r>
    </w:p>
    <w:p>
      <w:pPr>
        <w:adjustRightInd w:val="0"/>
        <w:snapToGrid w:val="0"/>
        <w:spacing w:line="592" w:lineRule="exact"/>
        <w:ind w:firstLine="480" w:firstLineChars="150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（9）所有者权益：-199.95万元。</w:t>
      </w:r>
    </w:p>
    <w:p>
      <w:pPr>
        <w:adjustRightInd w:val="0"/>
        <w:snapToGrid w:val="0"/>
        <w:spacing w:line="592" w:lineRule="exact"/>
        <w:ind w:firstLine="640" w:firstLineChars="20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2</w:t>
      </w:r>
      <w:r>
        <w:rPr>
          <w:rFonts w:hint="eastAsia" w:ascii="仿宋_GB2312" w:eastAsia="仿宋_GB2312" w:cs="仿宋_GB2312"/>
          <w:sz w:val="32"/>
          <w:szCs w:val="32"/>
        </w:rPr>
        <w:t>.管理和发展指标</w:t>
      </w:r>
    </w:p>
    <w:p>
      <w:pPr>
        <w:adjustRightInd w:val="0"/>
        <w:snapToGrid w:val="0"/>
        <w:spacing w:line="592" w:lineRule="exact"/>
        <w:ind w:firstLine="480" w:firstLineChars="150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（</w:t>
      </w:r>
      <w:r>
        <w:rPr>
          <w:rFonts w:ascii="仿宋_GB2312" w:eastAsia="仿宋_GB2312" w:cs="仿宋_GB2312"/>
          <w:sz w:val="32"/>
          <w:szCs w:val="32"/>
        </w:rPr>
        <w:t>1</w:t>
      </w:r>
      <w:r>
        <w:rPr>
          <w:rFonts w:hint="eastAsia" w:ascii="仿宋_GB2312" w:eastAsia="仿宋_GB2312" w:cs="仿宋_GB2312"/>
          <w:sz w:val="32"/>
          <w:szCs w:val="32"/>
        </w:rPr>
        <w:t>）职工薪酬：57.2万元；</w:t>
      </w:r>
    </w:p>
    <w:p>
      <w:pPr>
        <w:adjustRightInd w:val="0"/>
        <w:snapToGrid w:val="0"/>
        <w:spacing w:line="592" w:lineRule="exact"/>
        <w:ind w:firstLine="641" w:firstLineChars="200"/>
        <w:rPr>
          <w:rFonts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二、上年度财务预算执行情况</w:t>
      </w:r>
    </w:p>
    <w:p>
      <w:pPr>
        <w:adjustRightInd w:val="0"/>
        <w:snapToGrid w:val="0"/>
        <w:spacing w:line="592" w:lineRule="exact"/>
        <w:ind w:firstLine="480" w:firstLineChars="150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1.营业总收入：137.81万元，比预算增加100.07万元，增幅265.16</w:t>
      </w:r>
      <w:r>
        <w:rPr>
          <w:rFonts w:ascii="仿宋_GB2312" w:eastAsia="仿宋_GB2312" w:cs="仿宋_GB2312"/>
          <w:sz w:val="32"/>
          <w:szCs w:val="32"/>
        </w:rPr>
        <w:t>%</w:t>
      </w:r>
      <w:r>
        <w:rPr>
          <w:rFonts w:hint="eastAsia" w:ascii="仿宋_GB2312" w:eastAsia="仿宋_GB2312" w:cs="仿宋_GB2312"/>
          <w:sz w:val="32"/>
          <w:szCs w:val="32"/>
        </w:rPr>
        <w:t>；</w:t>
      </w:r>
    </w:p>
    <w:p>
      <w:pPr>
        <w:adjustRightInd w:val="0"/>
        <w:snapToGrid w:val="0"/>
        <w:spacing w:line="592" w:lineRule="exact"/>
        <w:ind w:firstLine="480" w:firstLineChars="15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2.营业总成本：137.91万元，比预算增加74.59万元，增幅117.8</w:t>
      </w:r>
      <w:r>
        <w:rPr>
          <w:rFonts w:ascii="仿宋_GB2312" w:eastAsia="仿宋_GB2312" w:cs="仿宋_GB2312"/>
          <w:sz w:val="32"/>
          <w:szCs w:val="32"/>
        </w:rPr>
        <w:t>%</w:t>
      </w:r>
      <w:r>
        <w:rPr>
          <w:rFonts w:hint="eastAsia" w:ascii="仿宋_GB2312" w:eastAsia="仿宋_GB2312" w:cs="仿宋_GB2312"/>
          <w:sz w:val="32"/>
          <w:szCs w:val="32"/>
        </w:rPr>
        <w:t>；</w:t>
      </w:r>
    </w:p>
    <w:p>
      <w:pPr>
        <w:adjustRightInd w:val="0"/>
        <w:snapToGrid w:val="0"/>
        <w:spacing w:line="592" w:lineRule="exact"/>
        <w:ind w:firstLine="480" w:firstLineChars="150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3.利润总额：0.2万元，比预算减亏25.78万元，减幅</w:t>
      </w:r>
      <w:bookmarkStart w:id="0" w:name="_GoBack"/>
      <w:bookmarkEnd w:id="0"/>
      <w:r>
        <w:rPr>
          <w:rFonts w:hint="eastAsia" w:ascii="仿宋_GB2312" w:eastAsia="仿宋_GB2312" w:cs="仿宋_GB2312"/>
          <w:sz w:val="32"/>
          <w:szCs w:val="32"/>
        </w:rPr>
        <w:t>100.9</w:t>
      </w:r>
      <w:r>
        <w:rPr>
          <w:rFonts w:ascii="仿宋_GB2312" w:eastAsia="仿宋_GB2312" w:cs="仿宋_GB2312"/>
          <w:sz w:val="32"/>
          <w:szCs w:val="32"/>
        </w:rPr>
        <w:t>%</w:t>
      </w:r>
      <w:r>
        <w:rPr>
          <w:rFonts w:hint="eastAsia" w:ascii="仿宋_GB2312" w:eastAsia="仿宋_GB2312" w:cs="仿宋_GB2312"/>
          <w:sz w:val="32"/>
          <w:szCs w:val="32"/>
        </w:rPr>
        <w:t>。</w:t>
      </w:r>
    </w:p>
    <w:p>
      <w:pPr>
        <w:adjustRightInd w:val="0"/>
        <w:snapToGrid w:val="0"/>
        <w:spacing w:line="592" w:lineRule="exact"/>
        <w:ind w:right="640" w:firstLine="640" w:firstLineChars="200"/>
        <w:rPr>
          <w:rFonts w:ascii="仿宋_GB2312" w:eastAsia="仿宋_GB2312" w:cs="仿宋_GB2312"/>
          <w:sz w:val="32"/>
          <w:szCs w:val="32"/>
        </w:rPr>
      </w:pPr>
    </w:p>
    <w:p>
      <w:pPr>
        <w:adjustRightInd w:val="0"/>
        <w:snapToGrid w:val="0"/>
        <w:spacing w:line="592" w:lineRule="exact"/>
        <w:ind w:right="640"/>
        <w:rPr>
          <w:rFonts w:ascii="仿宋_GB2312" w:eastAsia="仿宋_GB2312" w:cs="仿宋_GB2312"/>
          <w:sz w:val="32"/>
          <w:szCs w:val="32"/>
        </w:rPr>
      </w:pPr>
    </w:p>
    <w:p>
      <w:pPr>
        <w:adjustRightInd w:val="0"/>
        <w:snapToGrid w:val="0"/>
        <w:spacing w:line="592" w:lineRule="exact"/>
        <w:ind w:right="640" w:firstLine="640" w:firstLineChars="200"/>
        <w:jc w:val="right"/>
        <w:rPr>
          <w:rFonts w:ascii="宋体" w:hAnsi="宋体" w:eastAsia="宋体" w:cs="Times New Roman"/>
          <w:color w:val="000000"/>
        </w:rPr>
      </w:pPr>
      <w:r>
        <w:rPr>
          <w:rFonts w:ascii="仿宋_GB2312" w:eastAsia="仿宋_GB2312" w:cs="仿宋_GB2312"/>
          <w:sz w:val="32"/>
          <w:szCs w:val="32"/>
        </w:rPr>
        <w:t xml:space="preserve"> </w:t>
      </w:r>
    </w:p>
    <w:p>
      <w:pPr>
        <w:adjustRightInd w:val="0"/>
        <w:snapToGrid w:val="0"/>
        <w:spacing w:line="592" w:lineRule="exact"/>
        <w:ind w:right="640" w:firstLine="3600" w:firstLineChars="1500"/>
        <w:rPr>
          <w:rFonts w:ascii="宋体" w:hAnsi="宋体" w:eastAsia="宋体" w:cs="Times New Roman"/>
          <w:color w:val="000000"/>
        </w:rPr>
      </w:pPr>
    </w:p>
    <w:sectPr>
      <w:pgSz w:w="11906" w:h="16838"/>
      <w:pgMar w:top="1984" w:right="1361" w:bottom="1814" w:left="1474" w:header="851" w:footer="992" w:gutter="0"/>
      <w:cols w:space="425" w:num="1"/>
      <w:rtlGutter w:val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Kingsoft Confett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Confetti">
    <w:panose1 w:val="05000100010000000000"/>
    <w:charset w:val="00"/>
    <w:family w:val="auto"/>
    <w:pitch w:val="default"/>
    <w:sig w:usb0="00000000" w:usb1="00000000" w:usb2="00000000" w:usb3="00000000" w:csb0="8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Book Antiqua">
    <w:altName w:val="Georgia"/>
    <w:panose1 w:val="00000000000000000000"/>
    <w:charset w:val="00"/>
    <w:family w:val="roman"/>
    <w:pitch w:val="default"/>
    <w:sig w:usb0="00000000" w:usb1="00000000" w:usb2="00000000" w:usb3="00000000" w:csb0="0000009F" w:csb1="00000000"/>
  </w:font>
  <w:font w:name="楷体_GB2312">
    <w:altName w:val="汉仪楷体KW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汉仪仿宋KW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ambria">
    <w:altName w:val="Georgia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方正小标宋简体">
    <w:altName w:val="汉仪书宋二KW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汉仪仿宋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85750"/>
    <w:rsid w:val="00020BFD"/>
    <w:rsid w:val="000528C0"/>
    <w:rsid w:val="00056091"/>
    <w:rsid w:val="000609BB"/>
    <w:rsid w:val="00065DEC"/>
    <w:rsid w:val="000D3FE6"/>
    <w:rsid w:val="000E4217"/>
    <w:rsid w:val="0010228D"/>
    <w:rsid w:val="001130F3"/>
    <w:rsid w:val="0012107A"/>
    <w:rsid w:val="0015524E"/>
    <w:rsid w:val="001631D2"/>
    <w:rsid w:val="001C2575"/>
    <w:rsid w:val="001F2D13"/>
    <w:rsid w:val="002167CA"/>
    <w:rsid w:val="00221921"/>
    <w:rsid w:val="0023039F"/>
    <w:rsid w:val="00230499"/>
    <w:rsid w:val="00284129"/>
    <w:rsid w:val="00284935"/>
    <w:rsid w:val="002850F3"/>
    <w:rsid w:val="00295821"/>
    <w:rsid w:val="002C305E"/>
    <w:rsid w:val="002C446B"/>
    <w:rsid w:val="002D5C13"/>
    <w:rsid w:val="002F4898"/>
    <w:rsid w:val="00332BD2"/>
    <w:rsid w:val="0038352B"/>
    <w:rsid w:val="00394D23"/>
    <w:rsid w:val="00394DBD"/>
    <w:rsid w:val="003F2FE5"/>
    <w:rsid w:val="004024FC"/>
    <w:rsid w:val="00421C88"/>
    <w:rsid w:val="00425D2A"/>
    <w:rsid w:val="00426E9B"/>
    <w:rsid w:val="0043256F"/>
    <w:rsid w:val="004656C6"/>
    <w:rsid w:val="004A3BA3"/>
    <w:rsid w:val="004B1954"/>
    <w:rsid w:val="004E1111"/>
    <w:rsid w:val="00521630"/>
    <w:rsid w:val="00523D31"/>
    <w:rsid w:val="00525103"/>
    <w:rsid w:val="005808BE"/>
    <w:rsid w:val="00592DAF"/>
    <w:rsid w:val="005C1111"/>
    <w:rsid w:val="005C214E"/>
    <w:rsid w:val="005D6BD0"/>
    <w:rsid w:val="005E364D"/>
    <w:rsid w:val="0061303B"/>
    <w:rsid w:val="006276F2"/>
    <w:rsid w:val="00627CE6"/>
    <w:rsid w:val="00645CEA"/>
    <w:rsid w:val="00683C22"/>
    <w:rsid w:val="006E76F4"/>
    <w:rsid w:val="00712D94"/>
    <w:rsid w:val="00716CEA"/>
    <w:rsid w:val="00732540"/>
    <w:rsid w:val="00757D88"/>
    <w:rsid w:val="0076540C"/>
    <w:rsid w:val="00775688"/>
    <w:rsid w:val="007760EA"/>
    <w:rsid w:val="0078583C"/>
    <w:rsid w:val="007963FB"/>
    <w:rsid w:val="00796FB0"/>
    <w:rsid w:val="007C2D40"/>
    <w:rsid w:val="007D4ADE"/>
    <w:rsid w:val="007E0D0B"/>
    <w:rsid w:val="007E36C4"/>
    <w:rsid w:val="007F326C"/>
    <w:rsid w:val="008149DE"/>
    <w:rsid w:val="008306B9"/>
    <w:rsid w:val="00830AF6"/>
    <w:rsid w:val="00843EAE"/>
    <w:rsid w:val="00865B49"/>
    <w:rsid w:val="00886595"/>
    <w:rsid w:val="008B0ADA"/>
    <w:rsid w:val="008C731C"/>
    <w:rsid w:val="008D7499"/>
    <w:rsid w:val="008E2BEC"/>
    <w:rsid w:val="008E33EB"/>
    <w:rsid w:val="00904119"/>
    <w:rsid w:val="00911616"/>
    <w:rsid w:val="00914BA9"/>
    <w:rsid w:val="009545EE"/>
    <w:rsid w:val="00961F8F"/>
    <w:rsid w:val="00970D26"/>
    <w:rsid w:val="00985750"/>
    <w:rsid w:val="009872F4"/>
    <w:rsid w:val="009D1573"/>
    <w:rsid w:val="009D7C38"/>
    <w:rsid w:val="009E74AA"/>
    <w:rsid w:val="009F25F0"/>
    <w:rsid w:val="00A01FC5"/>
    <w:rsid w:val="00A336F4"/>
    <w:rsid w:val="00A3789A"/>
    <w:rsid w:val="00A37A18"/>
    <w:rsid w:val="00A77C77"/>
    <w:rsid w:val="00A8533D"/>
    <w:rsid w:val="00A94973"/>
    <w:rsid w:val="00A96681"/>
    <w:rsid w:val="00B20710"/>
    <w:rsid w:val="00B26B8A"/>
    <w:rsid w:val="00B465B7"/>
    <w:rsid w:val="00B703B0"/>
    <w:rsid w:val="00B8432A"/>
    <w:rsid w:val="00BC65EF"/>
    <w:rsid w:val="00BE0F13"/>
    <w:rsid w:val="00BF46B6"/>
    <w:rsid w:val="00C36EEF"/>
    <w:rsid w:val="00C4249E"/>
    <w:rsid w:val="00C764CE"/>
    <w:rsid w:val="00C922CE"/>
    <w:rsid w:val="00CD3FBA"/>
    <w:rsid w:val="00CE7165"/>
    <w:rsid w:val="00D02302"/>
    <w:rsid w:val="00D646AB"/>
    <w:rsid w:val="00D921BC"/>
    <w:rsid w:val="00DA50DD"/>
    <w:rsid w:val="00DA6372"/>
    <w:rsid w:val="00DC00BA"/>
    <w:rsid w:val="00DC6FCB"/>
    <w:rsid w:val="00DD4DAF"/>
    <w:rsid w:val="00E0593C"/>
    <w:rsid w:val="00E176DC"/>
    <w:rsid w:val="00E40309"/>
    <w:rsid w:val="00E805AD"/>
    <w:rsid w:val="00E901E5"/>
    <w:rsid w:val="00EA1681"/>
    <w:rsid w:val="00EA1C91"/>
    <w:rsid w:val="00EA4973"/>
    <w:rsid w:val="00EB291E"/>
    <w:rsid w:val="00ED3C4D"/>
    <w:rsid w:val="00ED52D8"/>
    <w:rsid w:val="00F17956"/>
    <w:rsid w:val="00F5787D"/>
    <w:rsid w:val="00F76359"/>
    <w:rsid w:val="00F834E1"/>
    <w:rsid w:val="00FC0CAE"/>
    <w:rsid w:val="051963DC"/>
    <w:rsid w:val="06C7318E"/>
    <w:rsid w:val="081E5786"/>
    <w:rsid w:val="2E6A4FA8"/>
    <w:rsid w:val="3BEDC54C"/>
    <w:rsid w:val="4B723775"/>
    <w:rsid w:val="79AA3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99" w:name="toc 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Book Antiqua" w:hAnsi="Book Antiqua" w:eastAsia="楷体_GB2312" w:cs="Book Antiqua"/>
      <w:kern w:val="2"/>
      <w:sz w:val="24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13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toc 1"/>
    <w:basedOn w:val="1"/>
    <w:next w:val="1"/>
    <w:semiHidden/>
    <w:qFormat/>
    <w:uiPriority w:val="99"/>
    <w:pPr>
      <w:tabs>
        <w:tab w:val="right" w:leader="dot" w:pos="8296"/>
      </w:tabs>
      <w:jc w:val="center"/>
    </w:pPr>
    <w:rPr>
      <w:rFonts w:eastAsia="仿宋_GB2312"/>
      <w:kern w:val="0"/>
      <w:sz w:val="30"/>
      <w:szCs w:val="30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</w:rPr>
  </w:style>
  <w:style w:type="paragraph" w:styleId="7">
    <w:name w:val="Title"/>
    <w:basedOn w:val="1"/>
    <w:next w:val="1"/>
    <w:link w:val="11"/>
    <w:qFormat/>
    <w:uiPriority w:val="99"/>
    <w:pPr>
      <w:spacing w:before="240" w:after="60"/>
      <w:jc w:val="center"/>
      <w:outlineLvl w:val="0"/>
    </w:pPr>
    <w:rPr>
      <w:rFonts w:ascii="Cambria" w:hAnsi="Cambria" w:eastAsia="宋体" w:cs="Cambria"/>
      <w:b/>
      <w:bCs/>
      <w:sz w:val="32"/>
      <w:szCs w:val="32"/>
    </w:rPr>
  </w:style>
  <w:style w:type="character" w:styleId="10">
    <w:name w:val="Hyperlink"/>
    <w:basedOn w:val="9"/>
    <w:qFormat/>
    <w:uiPriority w:val="99"/>
    <w:rPr>
      <w:color w:val="auto"/>
      <w:u w:val="none"/>
    </w:rPr>
  </w:style>
  <w:style w:type="character" w:customStyle="1" w:styleId="11">
    <w:name w:val="标题 Char"/>
    <w:basedOn w:val="9"/>
    <w:link w:val="7"/>
    <w:locked/>
    <w:uiPriority w:val="99"/>
    <w:rPr>
      <w:rFonts w:ascii="Cambria" w:hAnsi="Cambria" w:eastAsia="宋体" w:cs="Cambria"/>
      <w:b/>
      <w:bCs/>
      <w:sz w:val="32"/>
      <w:szCs w:val="32"/>
    </w:rPr>
  </w:style>
  <w:style w:type="character" w:customStyle="1" w:styleId="12">
    <w:name w:val="页眉 Char"/>
    <w:basedOn w:val="9"/>
    <w:link w:val="4"/>
    <w:semiHidden/>
    <w:qFormat/>
    <w:locked/>
    <w:uiPriority w:val="99"/>
    <w:rPr>
      <w:rFonts w:ascii="Book Antiqua" w:hAnsi="Book Antiqua" w:eastAsia="楷体_GB2312" w:cs="Book Antiqua"/>
      <w:sz w:val="18"/>
      <w:szCs w:val="18"/>
    </w:rPr>
  </w:style>
  <w:style w:type="character" w:customStyle="1" w:styleId="13">
    <w:name w:val="页脚 Char"/>
    <w:basedOn w:val="9"/>
    <w:link w:val="3"/>
    <w:semiHidden/>
    <w:locked/>
    <w:uiPriority w:val="99"/>
    <w:rPr>
      <w:rFonts w:ascii="Book Antiqua" w:hAnsi="Book Antiqua" w:eastAsia="楷体_GB2312" w:cs="Book Antiqua"/>
      <w:sz w:val="18"/>
      <w:szCs w:val="18"/>
    </w:rPr>
  </w:style>
  <w:style w:type="character" w:customStyle="1" w:styleId="14">
    <w:name w:val="批注框文本 Char"/>
    <w:basedOn w:val="9"/>
    <w:link w:val="2"/>
    <w:semiHidden/>
    <w:qFormat/>
    <w:locked/>
    <w:uiPriority w:val="99"/>
    <w:rPr>
      <w:rFonts w:ascii="Book Antiqua" w:hAnsi="Book Antiqua" w:eastAsia="楷体_GB2312" w:cs="Book Antiqua"/>
      <w:sz w:val="2"/>
      <w:szCs w:val="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Lenovo</Company>
  <Pages>2</Pages>
  <Words>58</Words>
  <Characters>331</Characters>
  <Lines>2</Lines>
  <Paragraphs>1</Paragraphs>
  <TotalTime>172</TotalTime>
  <ScaleCrop>false</ScaleCrop>
  <LinksUpToDate>false</LinksUpToDate>
  <CharactersWithSpaces>388</CharactersWithSpaces>
  <Application>WWO_base_provider_20210929220102-c9fcf70066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2015-04-06T17:08:00Z</dcterms:created>
  <dc:creator>孙庆云</dc:creator>
  <cp:lastModifiedBy>xbany</cp:lastModifiedBy>
  <cp:lastPrinted>2015-04-21T09:05:00Z</cp:lastPrinted>
  <dcterms:modified xsi:type="dcterms:W3CDTF">2022-04-25T17:12:15Z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  <property fmtid="{D5CDD505-2E9C-101B-9397-08002B2CF9AE}" pid="3" name="ICV">
    <vt:lpwstr>FD203C12343545B7A0C8763D1B5CF0CC</vt:lpwstr>
  </property>
</Properties>
</file>